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September 10, 2014</w:t>
      </w:r>
    </w:p>
    <w:p w:rsidP="00000000" w:rsidRPr="00000000" w:rsidR="00000000" w:rsidDel="00000000" w:rsidRDefault="00000000">
      <w:pPr>
        <w:contextualSpacing w:val="0"/>
      </w:pPr>
      <w:r w:rsidRPr="00000000" w:rsidR="00000000" w:rsidDel="00000000">
        <w:rPr>
          <w:rtl w:val="0"/>
        </w:rPr>
        <w:t xml:space="preserve">Latin I</w:t>
      </w:r>
    </w:p>
    <w:p w:rsidP="00000000" w:rsidRPr="00000000" w:rsidR="00000000" w:rsidDel="00000000" w:rsidRDefault="00000000">
      <w:pPr>
        <w:contextualSpacing w:val="0"/>
        <w:jc w:val="center"/>
      </w:pPr>
      <w:r w:rsidRPr="00000000" w:rsidR="00000000" w:rsidDel="00000000">
        <w:rPr>
          <w:b w:val="1"/>
          <w:u w:val="single"/>
          <w:rtl w:val="0"/>
        </w:rPr>
        <w:t xml:space="preserve">Chapter 2a Vocabulary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Think of a mnemonic for at least 5 of the words below.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Latin</w:t>
        <w:tab/>
        <w:tab/>
        <w:tab/>
        <w:tab/>
        <w:tab/>
        <w:t xml:space="preserve">English</w:t>
        <w:tab/>
        <w:tab/>
        <w:tab/>
        <w:t xml:space="preserve">Mnemonic</w:t>
      </w:r>
    </w:p>
    <w:p w:rsidP="00000000" w:rsidRPr="00000000" w:rsidR="00000000" w:rsidDel="00000000" w:rsidRDefault="00000000">
      <w:pPr>
        <w:contextualSpacing w:val="0"/>
      </w:pPr>
      <w:r w:rsidRPr="00000000" w:rsidR="00000000" w:rsidDel="00000000">
        <w:rPr>
          <w:rtl w:val="0"/>
        </w:rPr>
        <w:t xml:space="preserve">iuvo, iuvare, iuvavi</w:t>
        <w:tab/>
        <w:tab/>
        <w:tab/>
        <w:t xml:space="preserve">to help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laudo, laudare, laudavi</w:t>
        <w:tab/>
        <w:tab/>
        <w:t xml:space="preserve">to praise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narro, narrare, narravi</w:t>
        <w:tab/>
        <w:tab/>
        <w:tab/>
        <w:t xml:space="preserve">to tell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paro, parare, paravi</w:t>
        <w:tab/>
        <w:tab/>
        <w:tab/>
        <w:t xml:space="preserve">to prepare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porto, portare, portavi</w:t>
        <w:tab/>
        <w:tab/>
        <w:tab/>
        <w:t xml:space="preserve">to carry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saluto, salutare, salutavi</w:t>
        <w:tab/>
        <w:tab/>
        <w:t xml:space="preserve">to greet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voco, vocare, vocavi</w:t>
        <w:tab/>
        <w:tab/>
        <w:tab/>
        <w:t xml:space="preserve">to call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Now write a short story in English using </w:t>
      </w:r>
      <w:r w:rsidRPr="00000000" w:rsidR="00000000" w:rsidDel="00000000">
        <w:rPr>
          <w:b w:val="1"/>
          <w:rtl w:val="0"/>
        </w:rPr>
        <w:t xml:space="preserve">four </w:t>
      </w:r>
      <w:r w:rsidRPr="00000000" w:rsidR="00000000" w:rsidDel="00000000">
        <w:rPr>
          <w:rtl w:val="0"/>
        </w:rPr>
        <w:t xml:space="preserve">of the words below. Make sure that all of your verbs describe actions happening now (in the present tense), not in the past.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And on the back, write down a question about something that the “Quintus” reading made you think of or wonder about. Then, Google the question and write down what you learn. Brave people will be willing to present their findings in class.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vocab 2a.docx</dc:title>
</cp:coreProperties>
</file>